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-46465</wp:posOffset>
            </wp:positionH>
            <wp:positionV relativeFrom="paragraph">
              <wp:posOffset>133102</wp:posOffset>
            </wp:positionV>
            <wp:extent cx="5940425" cy="2616424"/>
            <wp:effectExtent l="133350" t="133350" r="155575" b="165100"/>
            <wp:wrapThrough wrapText="bothSides">
              <wp:wrapPolygon edited="0">
                <wp:start x="10667" y="-1101"/>
                <wp:lineTo x="-485" y="-786"/>
                <wp:lineTo x="-485" y="21862"/>
                <wp:lineTo x="10529" y="22491"/>
                <wp:lineTo x="10598" y="22806"/>
                <wp:lineTo x="10875" y="22806"/>
                <wp:lineTo x="10944" y="22491"/>
                <wp:lineTo x="22027" y="21862"/>
                <wp:lineTo x="22096" y="-629"/>
                <wp:lineTo x="21404" y="-786"/>
                <wp:lineTo x="10944" y="-1101"/>
                <wp:lineTo x="10667" y="-1101"/>
              </wp:wrapPolygon>
            </wp:wrapThrough>
            <wp:docPr id="1" name="Рисунок 1" descr="https://www.vgtk.by/im_istoria/7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gtk.by/im_istoria/7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6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</w:pPr>
      <w:r>
        <w:rPr>
          <w:rFonts w:ascii="Century Schoolbook" w:eastAsia="Times New Roman" w:hAnsi="Century Schoolbook" w:cs="Arial"/>
          <w:b/>
          <w:color w:val="0070C0"/>
          <w:sz w:val="32"/>
          <w:szCs w:val="32"/>
          <w:lang w:eastAsia="ru-RU"/>
        </w:rPr>
        <w:t>Мой героический родственник.</w:t>
      </w:r>
    </w:p>
    <w:p>
      <w:pPr>
        <w:shd w:val="clear" w:color="auto" w:fill="FFFFFF"/>
        <w:spacing w:after="0" w:line="240" w:lineRule="auto"/>
        <w:jc w:val="both"/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</w:pPr>
    </w:p>
    <w:p>
      <w:pPr>
        <w:jc w:val="both"/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</w:pPr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 xml:space="preserve">Анистратов Василий Романович (5.11.1923 29.10.1999) Анистратов Василий Романович родился 5 ноября 1923г. в х. Попове </w:t>
      </w:r>
      <w:proofErr w:type="spellStart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>Мигулинского</w:t>
      </w:r>
      <w:proofErr w:type="spellEnd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 xml:space="preserve"> района Ростовской области в трудовой крестьянской семье. После окончания начальной школы работал в колхозе животноводом. Участвовал в Великой Отечественной войне с 15 января 1943г. До декабря 1943г. воевал в составе Степного фронта (подносчиком снарядов), затем ΙΙΙ Украинского фронта, в составе 175 артиллерийского полка 58 гвардейской дивизии (командир орудия). За форсирование р. Днепр и взятие высоты близ г. Харькова получил медаль «За отвагу». Является полным кавалером орденов Славы. Награжден медалью «За отвагу», орденом «За освобождение Праги», </w:t>
      </w:r>
      <w:bookmarkStart w:id="0" w:name="_GoBack"/>
      <w:bookmarkEnd w:id="0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 xml:space="preserve">орденом «За Победу», Орденом Славы 3-й степени (1944)- за освобождение Польши, орденом Славы 2-й степени (1944)- за форсирование р. Одер, орденом Славы 1-й степени (1945)- за освобождение г. Праги, гвардейским значком, медалями «20 лет Победы», «30 лет Победы», «60 лет Вооруженных сил СССР». Службу закончил 9 мая 1945года. В 1951году закончил курсы трактористов при Мешковской МТС. Здесь же работал до 1958 года, а затем перешел трактористом Красноармейского отделения от </w:t>
      </w:r>
      <w:proofErr w:type="spellStart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>кормсовхоза</w:t>
      </w:r>
      <w:proofErr w:type="spellEnd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>Меловатский</w:t>
      </w:r>
      <w:proofErr w:type="spellEnd"/>
      <w:r>
        <w:rPr>
          <w:rFonts w:ascii="Century Schoolbook" w:eastAsia="Times New Roman" w:hAnsi="Century Schoolbook" w:cs="Arial"/>
          <w:color w:val="333333"/>
          <w:sz w:val="28"/>
          <w:szCs w:val="28"/>
          <w:shd w:val="clear" w:color="auto" w:fill="FFFFFF"/>
          <w:lang w:eastAsia="ru-RU"/>
        </w:rPr>
        <w:t>». На работе отличался исполнительностью, инициативой, постоянно находился в числе передовиков сельскохозяйственного производства. За трудовые успехи в 1966г. был награжден орденом Трудового Красного Знамени. В 1978г. уходит на пенсию по инвалидности. Участвовал в деятельности ветеранской организации, вёл патриотическую работу среди подрастающего поколения. Ушел из жизни 29 октября 1999 года.</w:t>
      </w: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 xml:space="preserve"> </w:t>
      </w:r>
    </w:p>
    <w:p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eastAsia="Times New Roman" w:hAnsi="Century Schoolbook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Мингалёва Виктория</w:t>
      </w:r>
    </w:p>
    <w:sectPr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D019-9677-4CAA-957A-C614ADC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2020-05-07T08:30:00Z</dcterms:created>
  <dcterms:modified xsi:type="dcterms:W3CDTF">2020-05-07T08:33:00Z</dcterms:modified>
</cp:coreProperties>
</file>